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4A" w:rsidRPr="007D6B82" w:rsidRDefault="0042014A" w:rsidP="0042014A">
      <w:pPr>
        <w:tabs>
          <w:tab w:val="center" w:pos="4896"/>
        </w:tabs>
        <w:jc w:val="center"/>
        <w:rPr>
          <w:rFonts w:ascii="Times New Roman" w:hAnsi="Times New Roman"/>
        </w:rPr>
      </w:pPr>
      <w:r w:rsidRPr="007D6B82">
        <w:rPr>
          <w:rFonts w:ascii="Times New Roman" w:hAnsi="Times New Roman"/>
          <w:u w:val="single"/>
        </w:rPr>
        <w:t>Advertisement for Bids</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Public Notice is hereby given that the Old Bridge Municipal Utilities Authority invites interested parties to submit formal sealed bid proposals for the following work, labor and/or materials:</w:t>
      </w:r>
    </w:p>
    <w:p w:rsidR="0042014A" w:rsidRPr="007D6B82" w:rsidRDefault="0042014A" w:rsidP="0042014A">
      <w:pPr>
        <w:tabs>
          <w:tab w:val="center" w:pos="4896"/>
        </w:tabs>
        <w:jc w:val="both"/>
        <w:rPr>
          <w:rFonts w:ascii="Times New Roman" w:hAnsi="Times New Roman"/>
        </w:rPr>
      </w:pPr>
      <w:r w:rsidRPr="007D6B82">
        <w:rPr>
          <w:rFonts w:ascii="Times New Roman" w:hAnsi="Times New Roman"/>
        </w:rPr>
        <w:tab/>
      </w:r>
    </w:p>
    <w:p w:rsidR="0042014A" w:rsidRPr="007D6B82" w:rsidRDefault="0042014A" w:rsidP="0042014A">
      <w:pPr>
        <w:jc w:val="both"/>
        <w:rPr>
          <w:rFonts w:ascii="Times New Roman" w:hAnsi="Times New Roman"/>
          <w:b/>
          <w:u w:val="single"/>
        </w:rPr>
      </w:pPr>
    </w:p>
    <w:p w:rsidR="0042014A" w:rsidRPr="007D6B82" w:rsidRDefault="0042014A" w:rsidP="0042014A">
      <w:pPr>
        <w:keepNext/>
        <w:tabs>
          <w:tab w:val="center" w:pos="4896"/>
        </w:tabs>
        <w:jc w:val="center"/>
        <w:outlineLvl w:val="0"/>
        <w:rPr>
          <w:rFonts w:ascii="Times New Roman" w:hAnsi="Times New Roman"/>
          <w:b/>
          <w:u w:val="single"/>
        </w:rPr>
      </w:pPr>
      <w:r w:rsidRPr="007D6B82">
        <w:rPr>
          <w:rFonts w:ascii="Times New Roman" w:hAnsi="Times New Roman"/>
          <w:b/>
          <w:u w:val="single"/>
        </w:rPr>
        <w:t>REDEVELOP WELL NO</w:t>
      </w:r>
      <w:r>
        <w:rPr>
          <w:rFonts w:ascii="Times New Roman" w:hAnsi="Times New Roman"/>
          <w:b/>
          <w:u w:val="single"/>
        </w:rPr>
        <w:t>S. 6 &amp; 11</w:t>
      </w:r>
    </w:p>
    <w:p w:rsidR="0042014A" w:rsidRPr="007D6B82" w:rsidRDefault="0042014A" w:rsidP="0042014A">
      <w:pPr>
        <w:tabs>
          <w:tab w:val="center" w:pos="4896"/>
        </w:tabs>
        <w:jc w:val="center"/>
        <w:rPr>
          <w:rFonts w:ascii="Times New Roman" w:hAnsi="Times New Roman"/>
          <w:b/>
          <w:u w:val="single"/>
        </w:rPr>
      </w:pPr>
    </w:p>
    <w:p w:rsidR="0042014A" w:rsidRPr="007D6B82" w:rsidRDefault="0042014A" w:rsidP="0042014A">
      <w:pPr>
        <w:keepNext/>
        <w:tabs>
          <w:tab w:val="center" w:pos="4896"/>
        </w:tabs>
        <w:jc w:val="center"/>
        <w:outlineLvl w:val="0"/>
        <w:rPr>
          <w:rFonts w:ascii="Times New Roman" w:hAnsi="Times New Roman"/>
          <w:b/>
          <w:u w:val="single"/>
        </w:rPr>
      </w:pPr>
      <w:r w:rsidRPr="007D6B82">
        <w:rPr>
          <w:rFonts w:ascii="Times New Roman" w:hAnsi="Times New Roman"/>
          <w:b/>
          <w:u w:val="single"/>
        </w:rPr>
        <w:t>CONTRACT NO. W1</w:t>
      </w:r>
      <w:r>
        <w:rPr>
          <w:rFonts w:ascii="Times New Roman" w:hAnsi="Times New Roman"/>
          <w:b/>
          <w:u w:val="single"/>
        </w:rPr>
        <w:t>9-206</w:t>
      </w:r>
    </w:p>
    <w:p w:rsidR="0042014A" w:rsidRPr="007D6B82" w:rsidRDefault="0042014A" w:rsidP="0042014A">
      <w:pPr>
        <w:jc w:val="both"/>
        <w:rPr>
          <w:rFonts w:ascii="Times New Roman" w:hAnsi="Times New Roman"/>
          <w:b/>
          <w:u w:val="single"/>
        </w:rPr>
      </w:pPr>
    </w:p>
    <w:p w:rsidR="0042014A" w:rsidRPr="007D6B82" w:rsidRDefault="0042014A" w:rsidP="0042014A">
      <w:pPr>
        <w:ind w:firstLine="720"/>
        <w:jc w:val="both"/>
        <w:rPr>
          <w:rFonts w:ascii="Times New Roman" w:hAnsi="Times New Roman"/>
        </w:rPr>
      </w:pPr>
      <w:r w:rsidRPr="007D6B82">
        <w:rPr>
          <w:rFonts w:ascii="Times New Roman" w:hAnsi="Times New Roman"/>
        </w:rPr>
        <w:t>Bid proposals shall be submitted on standard forms, to be furnished by the Old Bridge Municipal Utilities Authority (hereinafter called "OWNER"), which together with specifications, instructions to bidders and all other contract documents, have been prepared by the Owner, and same may be inspected and/or obtained by prospective bidders at the office of the Owner, 15 Throckmorton Lane, Old Bridge, Middlesex County, New Jersey, during regular business hours, upon presentation of the name and mailing address of the interested party</w:t>
      </w:r>
      <w:r>
        <w:rPr>
          <w:rFonts w:ascii="Times New Roman" w:hAnsi="Times New Roman"/>
        </w:rPr>
        <w:t xml:space="preserve">; or can be mailed by submitting a check in the amount of </w:t>
      </w:r>
      <w:r w:rsidRPr="007D6B82">
        <w:rPr>
          <w:rFonts w:ascii="Times New Roman" w:hAnsi="Times New Roman"/>
        </w:rPr>
        <w:t>$</w:t>
      </w:r>
      <w:r>
        <w:rPr>
          <w:rFonts w:ascii="Times New Roman" w:hAnsi="Times New Roman"/>
        </w:rPr>
        <w:t>10</w:t>
      </w:r>
      <w:r w:rsidRPr="007D6B82">
        <w:rPr>
          <w:rFonts w:ascii="Times New Roman" w:hAnsi="Times New Roman"/>
        </w:rPr>
        <w:t>.00 to cover postage and handling if mailed.</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 xml:space="preserve">Bid proposals shall be received until 2:00 P.M., local prevailing time on </w:t>
      </w:r>
      <w:r>
        <w:rPr>
          <w:rFonts w:ascii="Times New Roman" w:hAnsi="Times New Roman"/>
          <w:b/>
          <w:u w:val="single"/>
        </w:rPr>
        <w:t>Thursday, February 6, 2</w:t>
      </w:r>
      <w:r w:rsidRPr="007D6B82">
        <w:rPr>
          <w:rFonts w:ascii="Times New Roman" w:hAnsi="Times New Roman"/>
          <w:b/>
          <w:u w:val="single"/>
        </w:rPr>
        <w:t>0</w:t>
      </w:r>
      <w:r>
        <w:rPr>
          <w:rFonts w:ascii="Times New Roman" w:hAnsi="Times New Roman"/>
          <w:b/>
          <w:u w:val="single"/>
        </w:rPr>
        <w:t>20</w:t>
      </w:r>
      <w:r w:rsidRPr="007D6B82">
        <w:rPr>
          <w:rFonts w:ascii="Times New Roman" w:hAnsi="Times New Roman"/>
        </w:rPr>
        <w:t>, at the office of the Owner, 15 Throckmorton Lane, Old Bridge, Middlesex County, New Jersey after which time said bids will be publicly opened and read aloud.</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All bid proposals must be accompanied by a statement of Consent of Surety from a surety company authorized to do business in the State of New Jersey and acceptable to the Owner and either a Bid Bond or a Certified Check, drawn to the order of the Treasurer, Old Bridge Municipal Utilities Authority for not less than ten percent (10%) of amount bid except that the check shall not exceed $20,000.</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Proposals are to include unit prices, if applicable, which shall be utilized in the resultant contract and may be utilized should contract amendment(s) be necessary.</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All bid proposals shall be accepted and acted upon in accordance and in compliance with the Local Contracts Law (NJSA 40A:11</w:t>
      </w:r>
      <w:r w:rsidRPr="007D6B82">
        <w:rPr>
          <w:rFonts w:ascii="Times New Roman" w:hAnsi="Times New Roman"/>
        </w:rPr>
        <w:noBreakHyphen/>
        <w:t>1 et seq.) and instruction to bidders referred to herein above.</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The award of the contract for this work will not be made until the necessary funds have been provided for by the Owner in a lawful manner.</w:t>
      </w: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pPr>
    </w:p>
    <w:p w:rsidR="0042014A" w:rsidRPr="007D6B82" w:rsidRDefault="0042014A" w:rsidP="0042014A">
      <w:pPr>
        <w:jc w:val="both"/>
        <w:rPr>
          <w:rFonts w:ascii="Times New Roman" w:hAnsi="Times New Roman"/>
        </w:rPr>
        <w:sectPr w:rsidR="0042014A" w:rsidRPr="007D6B82" w:rsidSect="0042014A">
          <w:endnotePr>
            <w:numFmt w:val="decimal"/>
          </w:endnotePr>
          <w:pgSz w:w="12240" w:h="15840"/>
          <w:pgMar w:top="1440" w:right="1008" w:bottom="1440" w:left="1440" w:header="1440" w:footer="1440" w:gutter="0"/>
          <w:cols w:space="720"/>
          <w:noEndnote/>
        </w:sectPr>
      </w:pPr>
    </w:p>
    <w:p w:rsidR="0042014A" w:rsidRPr="007D6B82" w:rsidRDefault="0042014A" w:rsidP="0042014A">
      <w:pPr>
        <w:ind w:firstLine="720"/>
        <w:jc w:val="both"/>
        <w:rPr>
          <w:rFonts w:ascii="Times New Roman" w:hAnsi="Times New Roman"/>
        </w:rPr>
      </w:pPr>
    </w:p>
    <w:p w:rsidR="0042014A" w:rsidRPr="007D6B82" w:rsidRDefault="0042014A" w:rsidP="0042014A">
      <w:pPr>
        <w:ind w:firstLine="720"/>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The Owner reserves the right to require a complete financial and experience statement from prospective bidders showing that they have satisfactorily completed work of the nature required before furnishing proposal forms or specifications or before awarding the Contract.  The right is also reserved to reject any or all bids or to waive any informalities where such informality is not detrimental to the best interest of the Owner.  The right is also reserved to increase or to decrease the quantities specified in the manner designated in the specifications.</w:t>
      </w:r>
    </w:p>
    <w:p w:rsidR="0042014A" w:rsidRPr="007D6B82" w:rsidRDefault="0042014A" w:rsidP="0042014A">
      <w:pPr>
        <w:jc w:val="both"/>
        <w:rPr>
          <w:rFonts w:ascii="Times New Roman" w:hAnsi="Times New Roman"/>
        </w:rPr>
      </w:pPr>
    </w:p>
    <w:p w:rsidR="0042014A" w:rsidRPr="007D6B82" w:rsidRDefault="0042014A" w:rsidP="0042014A">
      <w:pPr>
        <w:ind w:firstLine="720"/>
        <w:jc w:val="both"/>
        <w:rPr>
          <w:rFonts w:ascii="Times New Roman" w:hAnsi="Times New Roman"/>
        </w:rPr>
      </w:pPr>
      <w:r w:rsidRPr="007D6B82">
        <w:rPr>
          <w:rFonts w:ascii="Times New Roman" w:hAnsi="Times New Roman"/>
        </w:rPr>
        <w:t>The successful bidder shall be required to comply with the following:</w:t>
      </w:r>
    </w:p>
    <w:p w:rsidR="0042014A" w:rsidRPr="007D6B82" w:rsidRDefault="0042014A" w:rsidP="0042014A">
      <w:pPr>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ind w:left="1350" w:hanging="630"/>
        <w:jc w:val="both"/>
        <w:rPr>
          <w:rFonts w:ascii="Times New Roman" w:hAnsi="Times New Roman"/>
        </w:rPr>
      </w:pPr>
      <w:r w:rsidRPr="007D6B82">
        <w:rPr>
          <w:rFonts w:ascii="Times New Roman" w:hAnsi="Times New Roman"/>
        </w:rPr>
        <w:t>a)</w:t>
      </w:r>
      <w:r w:rsidRPr="007D6B82">
        <w:rPr>
          <w:rFonts w:ascii="Times New Roman" w:hAnsi="Times New Roman"/>
        </w:rPr>
        <w:tab/>
        <w:t>Either the provision of the N.J. Prevailing Wage Act, Chapter 150 of the laws of 1963, effective January 1, 1964, or Department of Labor, Employment Standards Administration, Minimum Wages for Federal and Federally assisted construction projects promulgated under the Davis</w:t>
      </w:r>
      <w:r w:rsidRPr="007D6B82">
        <w:rPr>
          <w:rFonts w:ascii="Times New Roman" w:hAnsi="Times New Roman"/>
        </w:rPr>
        <w:noBreakHyphen/>
        <w:t>Bacon Act, whichever regulation is higher;</w:t>
      </w: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ind w:left="1350" w:hanging="630"/>
        <w:jc w:val="both"/>
        <w:rPr>
          <w:rFonts w:ascii="Times New Roman" w:hAnsi="Times New Roman"/>
        </w:rPr>
      </w:pPr>
      <w:r w:rsidRPr="007D6B82">
        <w:rPr>
          <w:rFonts w:ascii="Times New Roman" w:hAnsi="Times New Roman"/>
        </w:rPr>
        <w:t>b)</w:t>
      </w:r>
      <w:r w:rsidRPr="007D6B82">
        <w:rPr>
          <w:rFonts w:ascii="Times New Roman" w:hAnsi="Times New Roman"/>
        </w:rPr>
        <w:tab/>
        <w:t>Anti</w:t>
      </w:r>
      <w:r w:rsidRPr="007D6B82">
        <w:rPr>
          <w:rFonts w:ascii="Times New Roman" w:hAnsi="Times New Roman"/>
        </w:rPr>
        <w:noBreakHyphen/>
        <w:t xml:space="preserve">kickback Regulations under Section 2 of the Act of  June 13, 1934, known as the </w:t>
      </w:r>
      <w:bookmarkStart w:id="0" w:name="_GoBack"/>
      <w:bookmarkEnd w:id="0"/>
      <w:proofErr w:type="spellStart"/>
      <w:r w:rsidRPr="007D6B82">
        <w:rPr>
          <w:rFonts w:ascii="Times New Roman" w:hAnsi="Times New Roman"/>
        </w:rPr>
        <w:t>Copleand</w:t>
      </w:r>
      <w:proofErr w:type="spellEnd"/>
      <w:r w:rsidRPr="007D6B82">
        <w:rPr>
          <w:rFonts w:ascii="Times New Roman" w:hAnsi="Times New Roman"/>
        </w:rPr>
        <w:t xml:space="preserve"> Act;</w:t>
      </w: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ind w:left="1350" w:hanging="630"/>
        <w:jc w:val="both"/>
        <w:rPr>
          <w:rFonts w:ascii="Times New Roman" w:hAnsi="Times New Roman"/>
        </w:rPr>
      </w:pPr>
      <w:r w:rsidRPr="007D6B82">
        <w:rPr>
          <w:rFonts w:ascii="Times New Roman" w:hAnsi="Times New Roman"/>
        </w:rPr>
        <w:t>c)</w:t>
      </w:r>
      <w:r w:rsidRPr="007D6B82">
        <w:rPr>
          <w:rFonts w:ascii="Times New Roman" w:hAnsi="Times New Roman"/>
        </w:rPr>
        <w:tab/>
        <w:t>Parts 5 and 5A, Subtitle A, Title 29, Code of Federal  Regulations with respect to hiring of apprentices and trainees;</w:t>
      </w: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ind w:firstLine="720"/>
        <w:jc w:val="both"/>
        <w:rPr>
          <w:rFonts w:ascii="Times New Roman" w:hAnsi="Times New Roman"/>
        </w:rPr>
      </w:pPr>
      <w:r w:rsidRPr="007D6B82">
        <w:rPr>
          <w:rFonts w:ascii="Times New Roman" w:hAnsi="Times New Roman"/>
        </w:rPr>
        <w:t>d)</w:t>
      </w:r>
      <w:r w:rsidRPr="007D6B82">
        <w:rPr>
          <w:rFonts w:ascii="Times New Roman" w:hAnsi="Times New Roman"/>
        </w:rPr>
        <w:tab/>
        <w:t xml:space="preserve">The requirements of NJSA 10:5-31 et </w:t>
      </w:r>
      <w:proofErr w:type="spellStart"/>
      <w:r w:rsidRPr="007D6B82">
        <w:rPr>
          <w:rFonts w:ascii="Times New Roman" w:hAnsi="Times New Roman"/>
        </w:rPr>
        <w:t>seq</w:t>
      </w:r>
      <w:proofErr w:type="spellEnd"/>
      <w:r w:rsidRPr="007D6B82">
        <w:rPr>
          <w:rFonts w:ascii="Times New Roman" w:hAnsi="Times New Roman"/>
        </w:rPr>
        <w:t xml:space="preserve"> and NJAC 17:27</w:t>
      </w: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r w:rsidRPr="007D6B82">
        <w:rPr>
          <w:rFonts w:ascii="Times New Roman" w:hAnsi="Times New Roman"/>
        </w:rPr>
        <w:t xml:space="preserve">      </w:t>
      </w:r>
      <w:r w:rsidRPr="007D6B82">
        <w:rPr>
          <w:rFonts w:ascii="Times New Roman" w:hAnsi="Times New Roman"/>
        </w:rPr>
        <w:tab/>
        <w:t>Further, the bid must be accompanied by a list of names and addresses of all stockholders owning ten percent (10%) or more of the stock, all in accordance with Chapter 33 of the law of New Jersey, 1977.</w:t>
      </w: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r w:rsidRPr="007D6B82">
        <w:rPr>
          <w:rFonts w:ascii="Times New Roman" w:hAnsi="Times New Roman"/>
        </w:rPr>
        <w:t xml:space="preserve">  </w:t>
      </w:r>
      <w:r w:rsidRPr="007D6B82">
        <w:rPr>
          <w:rFonts w:ascii="Times New Roman" w:hAnsi="Times New Roman"/>
        </w:rPr>
        <w:tab/>
        <w:t>By order of the Old Bridge Municipal Utilities Authority.</w:t>
      </w: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jc w:val="both"/>
        <w:rPr>
          <w:rFonts w:ascii="Times New Roman" w:hAnsi="Times New Roman"/>
        </w:rPr>
      </w:pPr>
    </w:p>
    <w:p w:rsidR="0042014A" w:rsidRPr="007D6B82" w:rsidRDefault="0042014A" w:rsidP="0042014A">
      <w:pPr>
        <w:tabs>
          <w:tab w:val="left" w:pos="-1080"/>
          <w:tab w:val="left" w:pos="-720"/>
          <w:tab w:val="left" w:pos="0"/>
          <w:tab w:val="left" w:pos="720"/>
          <w:tab w:val="left" w:pos="1350"/>
          <w:tab w:val="left" w:pos="1890"/>
          <w:tab w:val="left" w:pos="2880"/>
        </w:tabs>
        <w:ind w:firstLine="3600"/>
        <w:jc w:val="both"/>
        <w:rPr>
          <w:rFonts w:ascii="Times New Roman" w:hAnsi="Times New Roman"/>
        </w:rPr>
      </w:pPr>
      <w:r>
        <w:rPr>
          <w:rFonts w:ascii="Times New Roman" w:hAnsi="Times New Roman"/>
        </w:rPr>
        <w:t>John E. Murphy, III, Chairman</w:t>
      </w:r>
    </w:p>
    <w:p w:rsidR="0042014A" w:rsidRPr="007D6B82" w:rsidRDefault="0042014A" w:rsidP="0042014A">
      <w:pPr>
        <w:tabs>
          <w:tab w:val="left" w:pos="-1080"/>
          <w:tab w:val="left" w:pos="-720"/>
          <w:tab w:val="left" w:pos="0"/>
          <w:tab w:val="left" w:pos="720"/>
          <w:tab w:val="left" w:pos="1350"/>
          <w:tab w:val="left" w:pos="1890"/>
          <w:tab w:val="left" w:pos="2880"/>
        </w:tabs>
        <w:ind w:firstLine="3600"/>
        <w:jc w:val="both"/>
        <w:rPr>
          <w:rFonts w:ascii="Times New Roman" w:hAnsi="Times New Roman"/>
        </w:rPr>
      </w:pPr>
      <w:r w:rsidRPr="007D6B82">
        <w:rPr>
          <w:rFonts w:ascii="Times New Roman" w:hAnsi="Times New Roman"/>
        </w:rPr>
        <w:t>Old Bridge Municipal Utilities Authority</w:t>
      </w:r>
    </w:p>
    <w:p w:rsidR="008C73A8" w:rsidRDefault="008C73A8"/>
    <w:sectPr w:rsidR="008C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4A"/>
    <w:rsid w:val="00022AE9"/>
    <w:rsid w:val="00073F23"/>
    <w:rsid w:val="000A0E35"/>
    <w:rsid w:val="000E3D6A"/>
    <w:rsid w:val="00110714"/>
    <w:rsid w:val="001C3F5A"/>
    <w:rsid w:val="00330F64"/>
    <w:rsid w:val="003340D3"/>
    <w:rsid w:val="0042014A"/>
    <w:rsid w:val="004464A6"/>
    <w:rsid w:val="004A62F6"/>
    <w:rsid w:val="004C1F58"/>
    <w:rsid w:val="005620F7"/>
    <w:rsid w:val="00572BC8"/>
    <w:rsid w:val="00685D9C"/>
    <w:rsid w:val="006B546B"/>
    <w:rsid w:val="006F13F7"/>
    <w:rsid w:val="00724D63"/>
    <w:rsid w:val="007C52B0"/>
    <w:rsid w:val="008C73A8"/>
    <w:rsid w:val="00903587"/>
    <w:rsid w:val="009B22B1"/>
    <w:rsid w:val="009E7E6E"/>
    <w:rsid w:val="00A12B40"/>
    <w:rsid w:val="00A717B3"/>
    <w:rsid w:val="00B30758"/>
    <w:rsid w:val="00C40638"/>
    <w:rsid w:val="00C47098"/>
    <w:rsid w:val="00C53251"/>
    <w:rsid w:val="00CD3DAD"/>
    <w:rsid w:val="00CF4785"/>
    <w:rsid w:val="00D7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4A"/>
    <w:pPr>
      <w:widowControl w:val="0"/>
    </w:pPr>
    <w:rPr>
      <w:rFonts w:ascii="Courier" w:eastAsia="Times New Roman" w:hAnsi="Courie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4C1F58"/>
  </w:style>
  <w:style w:type="paragraph" w:styleId="NoSpacing">
    <w:name w:val="No Spacing"/>
    <w:uiPriority w:val="1"/>
    <w:qFormat/>
    <w:rsid w:val="004C1F58"/>
  </w:style>
  <w:style w:type="paragraph" w:customStyle="1" w:styleId="Style2">
    <w:name w:val="Style2"/>
    <w:basedOn w:val="NoSpacing"/>
    <w:next w:val="NoSpacing"/>
    <w:qFormat/>
    <w:rsid w:val="004C1F58"/>
  </w:style>
  <w:style w:type="paragraph" w:styleId="EnvelopeAddress">
    <w:name w:val="envelope address"/>
    <w:basedOn w:val="Normal"/>
    <w:uiPriority w:val="99"/>
    <w:semiHidden/>
    <w:unhideWhenUsed/>
    <w:rsid w:val="004A62F6"/>
    <w:pPr>
      <w:framePr w:w="7920" w:h="1980" w:hRule="exact" w:hSpace="180" w:wrap="auto" w:hAnchor="page" w:xAlign="center" w:yAlign="bottom"/>
      <w:widowControl/>
      <w:ind w:left="2880"/>
    </w:pPr>
    <w:rPr>
      <w:rFonts w:ascii="Times New Roman" w:eastAsiaTheme="majorEastAsia" w:hAnsi="Times New Roman"/>
      <w:snapToGrid/>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4A"/>
    <w:pPr>
      <w:widowControl w:val="0"/>
    </w:pPr>
    <w:rPr>
      <w:rFonts w:ascii="Courier" w:eastAsia="Times New Roman" w:hAnsi="Courie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4C1F58"/>
  </w:style>
  <w:style w:type="paragraph" w:styleId="NoSpacing">
    <w:name w:val="No Spacing"/>
    <w:uiPriority w:val="1"/>
    <w:qFormat/>
    <w:rsid w:val="004C1F58"/>
  </w:style>
  <w:style w:type="paragraph" w:customStyle="1" w:styleId="Style2">
    <w:name w:val="Style2"/>
    <w:basedOn w:val="NoSpacing"/>
    <w:next w:val="NoSpacing"/>
    <w:qFormat/>
    <w:rsid w:val="004C1F58"/>
  </w:style>
  <w:style w:type="paragraph" w:styleId="EnvelopeAddress">
    <w:name w:val="envelope address"/>
    <w:basedOn w:val="Normal"/>
    <w:uiPriority w:val="99"/>
    <w:semiHidden/>
    <w:unhideWhenUsed/>
    <w:rsid w:val="004A62F6"/>
    <w:pPr>
      <w:framePr w:w="7920" w:h="1980" w:hRule="exact" w:hSpace="180" w:wrap="auto" w:hAnchor="page" w:xAlign="center" w:yAlign="bottom"/>
      <w:widowControl/>
      <w:ind w:left="2880"/>
    </w:pPr>
    <w:rPr>
      <w:rFonts w:ascii="Times New Roman" w:eastAsiaTheme="majorEastAsia" w:hAnsi="Times New Roman"/>
      <w:snapToGri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2020-01-06T16:51:00Z</dcterms:created>
  <dcterms:modified xsi:type="dcterms:W3CDTF">2020-01-06T16:52:00Z</dcterms:modified>
</cp:coreProperties>
</file>